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E" w:rsidRPr="000A75AE" w:rsidRDefault="000A75AE" w:rsidP="000A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0A75AE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Celebração da Eucaristia</w:t>
      </w:r>
    </w:p>
    <w:p w:rsidR="000A75AE" w:rsidRPr="000A75AE" w:rsidRDefault="000A75AE" w:rsidP="000A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Segunda-feira, 2 de outubro de 2023</w:t>
      </w:r>
    </w:p>
    <w:p w:rsidR="000A75AE" w:rsidRPr="000A75AE" w:rsidRDefault="000A75AE" w:rsidP="000A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  <w:r w:rsidRPr="000A75AE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Os Anjos da Guarda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Anjo de Deus, meu querido guardião, a quem o amor de Deus me confia aqui, sempre neste dia, esteja ao meu lado, para iluminar e guardar, para governar e guiar.  Amém.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Esse texto simples é uma das primeiras orações que minha mãe me ensinou enquanto me acompanhava na jornada da fé.  Juntamente com meu pai, seus esforços para modelar a fé caminhando </w:t>
      </w:r>
      <w:bookmarkStart w:id="0" w:name="_GoBack"/>
      <w:bookmarkEnd w:id="0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comigo foram o início do caminho sinodal em minha vida.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Suspeito que muitos de nós aprendemos o valor dessas orações e desse acompanhamento em uma idade tenra, quando os corações e as mentes eram inocentes e livres, livres da sofisticação da religião que às vezes se infiltra na vida, no ministério e na missão eclesial.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A exortação de Jesus no Evangelho de hoje nos lembra que a fé infantil é a chave para o reino dos céus.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A fé infantil não é uma fé infantil, que é temerosa e desconfiada.  As crianças podem nos ensinar muito sobre a vida, sobre o amor e sobre a fé em Deus.  Elas também podem nos ensinar como caminhar com os outros sem julgamento, manipulação ou imposição.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Como a criança é primeiramente amada por seus pais, parece razoável que ela confie em seus pais para oferecer conhecimento, entendimento e sabedoria, maiores do que os seus.  Nesse mesmo espírito, e tendo sido primeiramente amados por Deus, nós também somos convidados a ouvir e dialogar no Espírito Santo.  Somos instados a ter certeza e a respeitar a opinião, a </w:t>
      </w:r>
      <w:proofErr w:type="spellStart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perspectiva</w:t>
      </w:r>
      <w:proofErr w:type="spellEnd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as contribuições dos outros tanto quanto as nossas próprias.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As crianças sabem que não têm todas as respostas.  Isso pode ser facilmente percebido pela grande quantidade de perguntas que elas fazem com frequência.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Uma pessoa com fé infantil não tem medo de revelar sua vulnerabilidade.  A fé infantil mantém o crente humilde e livre.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Meus irmãos e irmãs, o crente infantil é aquele que sabe como se desapegar de suas próprias ideias quando vê que elas não são formadas pela verdade do Evangelho; quando, à luz do Evangelho, percebe que opiniões, ideologias e filosofias, juntamente com estratégias e planos, são simplesmente estruturas administrativas e políticas desprovidas do Espírito do Evangelho.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A fé infantil busca o consenso a todo custo.  E, no entanto, o consenso não leva à verdade.  A verdade leva ao consenso.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Agora, aqui está uma afirmação ousada que pode deixar algumas pessoas pensando: o crente superconfiante, administrativo e </w:t>
      </w:r>
      <w:proofErr w:type="spellStart"/>
      <w:proofErr w:type="gramStart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super</w:t>
      </w:r>
      <w:proofErr w:type="spellEnd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sofisticado</w:t>
      </w:r>
      <w:proofErr w:type="gramEnd"/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não está aberto à conversão contínua a Cristo não é autêntico nem honesto.  Esse tipo de crente terá dificuldades para abraçar a missão pastoral do Corpo de Cristo.  A comunhão, a participação e a missão simplesmente continuarão sendo planos e estratégias usados para coagir todo o povo de Deus a se remodelar sob o pretexto de reforma.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Uma missão pastoral, que começa e termina com Jesus Cristo, permitirá a conversão pessoal e comunitária, a renovação e a regeneração do Corpo de Cristo.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anjos são os mensageiros de Deus.  Eles são nossos companheiros ao trilharmos juntos esse caminho de discipulado.  Eles revelam os pensamentos de Deus para nós, mas, mais ainda, revelam o amor de Deus por nós e por toda a criação. 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Nas Escrituras, aqueles que são autênticos na fé são aqueles que estão abertos à Palavra regeneradora de Deus em sua vida.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Para o cristão fiel, o convite é sempre para receber a mensagem de que Deus o ama e tem um plano para sua vida.  Essa mesma mensagem nos lembra que o pecado o destruirá e que Jesus Cristo morreu para salvá-lo.  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Portanto, minhas irmãs e meus irmãos, hoje o Evangelho nos exorta a ouvir a Palavra do Senhor e a receber a verdade do Evangelho em nossa vida.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A75AE">
        <w:rPr>
          <w:rFonts w:ascii="Times New Roman" w:eastAsia="Times New Roman" w:hAnsi="Times New Roman" w:cs="Times New Roman"/>
          <w:sz w:val="24"/>
          <w:szCs w:val="24"/>
          <w:lang w:val="pt-PT"/>
        </w:rPr>
        <w:t>Arrependam-se e acreditem nas Boas Novas.  Recebam o Espírito Santo, vivam sua vida em Cristo e permaneçam em seu corpo, a Igreja.  Depois, como aqueles mensageiros celestiais de Deus, acompanhe os outros, busque a verdade de Cristo e pregue o Evangelho por meio de sua vida ao ir e fazer discípulos para o Senhor.</w:t>
      </w: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AE">
        <w:rPr>
          <w:rFonts w:ascii="Times New Roman" w:eastAsia="Times New Roman" w:hAnsi="Times New Roman" w:cs="Times New Roman"/>
          <w:b/>
          <w:sz w:val="24"/>
          <w:szCs w:val="24"/>
        </w:rPr>
        <w:t xml:space="preserve">S.E. Mons. Anthony </w:t>
      </w:r>
      <w:proofErr w:type="spellStart"/>
      <w:r w:rsidRPr="000A75AE">
        <w:rPr>
          <w:rFonts w:ascii="Times New Roman" w:eastAsia="Times New Roman" w:hAnsi="Times New Roman" w:cs="Times New Roman"/>
          <w:b/>
          <w:sz w:val="24"/>
          <w:szCs w:val="24"/>
        </w:rPr>
        <w:t>Randazzo</w:t>
      </w:r>
      <w:proofErr w:type="spellEnd"/>
    </w:p>
    <w:p w:rsidR="000A75AE" w:rsidRPr="000A75AE" w:rsidRDefault="000A75AE" w:rsidP="000A7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75AE">
        <w:rPr>
          <w:rFonts w:ascii="Times New Roman" w:eastAsia="Times New Roman" w:hAnsi="Times New Roman" w:cs="Times New Roman"/>
          <w:b/>
          <w:sz w:val="24"/>
          <w:szCs w:val="24"/>
        </w:rPr>
        <w:t>Bispo</w:t>
      </w:r>
      <w:proofErr w:type="spellEnd"/>
      <w:r w:rsidRPr="000A75AE">
        <w:rPr>
          <w:rFonts w:ascii="Times New Roman" w:eastAsia="Times New Roman" w:hAnsi="Times New Roman" w:cs="Times New Roman"/>
          <w:b/>
          <w:sz w:val="24"/>
          <w:szCs w:val="24"/>
        </w:rPr>
        <w:t xml:space="preserve"> de Broken Bay</w:t>
      </w:r>
    </w:p>
    <w:p w:rsidR="00707D6A" w:rsidRPr="000A75AE" w:rsidRDefault="00707D6A" w:rsidP="000A75AE">
      <w:pPr>
        <w:spacing w:after="0" w:line="240" w:lineRule="auto"/>
        <w:jc w:val="both"/>
        <w:rPr>
          <w:sz w:val="24"/>
          <w:szCs w:val="24"/>
        </w:rPr>
      </w:pPr>
    </w:p>
    <w:sectPr w:rsidR="00707D6A" w:rsidRPr="000A75AE" w:rsidSect="000A75AE">
      <w:headerReference w:type="first" r:id="rId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ED" w:rsidRDefault="005263ED" w:rsidP="0028111A">
      <w:r>
        <w:separator/>
      </w:r>
    </w:p>
  </w:endnote>
  <w:endnote w:type="continuationSeparator" w:id="0">
    <w:p w:rsidR="005263ED" w:rsidRDefault="005263ED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ED" w:rsidRDefault="005263ED" w:rsidP="0028111A">
      <w:r>
        <w:separator/>
      </w:r>
    </w:p>
  </w:footnote>
  <w:footnote w:type="continuationSeparator" w:id="0">
    <w:p w:rsidR="005263ED" w:rsidRDefault="005263ED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0A75AE" w:rsidTr="007664B8">
      <w:tc>
        <w:tcPr>
          <w:tcW w:w="6066" w:type="dxa"/>
          <w:tcBorders>
            <w:left w:val="single" w:sz="24" w:space="0" w:color="BA1D18"/>
          </w:tcBorders>
        </w:tcPr>
        <w:p w:rsidR="000A75AE" w:rsidRDefault="000A75AE" w:rsidP="000A75AE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XVI Assembleia </w:t>
          </w:r>
        </w:p>
        <w:p w:rsidR="000A75AE" w:rsidRDefault="000A75AE" w:rsidP="000A75AE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Geral Ordinária do </w:t>
          </w:r>
        </w:p>
        <w:p w:rsidR="000A75AE" w:rsidRPr="00906182" w:rsidRDefault="000A75AE" w:rsidP="000A75AE">
          <w:pPr>
            <w:pStyle w:val="Intestazione"/>
            <w:rPr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0A75AE" w:rsidRDefault="000A75AE" w:rsidP="000A75A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9F863FB" wp14:editId="19205466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E"/>
    <w:rsid w:val="000A232A"/>
    <w:rsid w:val="000A75AE"/>
    <w:rsid w:val="00137CBB"/>
    <w:rsid w:val="0028111A"/>
    <w:rsid w:val="002C76FD"/>
    <w:rsid w:val="002D61C8"/>
    <w:rsid w:val="005263ED"/>
    <w:rsid w:val="006130F5"/>
    <w:rsid w:val="00707D6A"/>
    <w:rsid w:val="00906182"/>
    <w:rsid w:val="00A67C4A"/>
    <w:rsid w:val="00A740EB"/>
    <w:rsid w:val="00CA45C0"/>
    <w:rsid w:val="00D3064B"/>
    <w:rsid w:val="00D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A81CE-CA9E-429B-9421-A4BA6703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A75AE"/>
    <w:pPr>
      <w:spacing w:after="160" w:line="259" w:lineRule="auto"/>
    </w:pPr>
    <w:rPr>
      <w:rFonts w:ascii="Calibri" w:eastAsia="Calibri" w:hAnsi="Calibri" w:cs="Calibri"/>
      <w:sz w:val="22"/>
      <w:szCs w:val="22"/>
      <w:lang w:val="en-CA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pPr>
      <w:spacing w:after="0" w:line="240" w:lineRule="auto"/>
    </w:pPr>
    <w:rPr>
      <w:rFonts w:ascii="Segoe UI" w:eastAsiaTheme="minorHAnsi" w:hAnsi="Segoe UI" w:cs="Segoe UI"/>
      <w:sz w:val="18"/>
      <w:szCs w:val="18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P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POR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1</cp:revision>
  <cp:lastPrinted>2023-09-27T07:01:00Z</cp:lastPrinted>
  <dcterms:created xsi:type="dcterms:W3CDTF">2023-10-02T06:53:00Z</dcterms:created>
  <dcterms:modified xsi:type="dcterms:W3CDTF">2023-10-02T06:54:00Z</dcterms:modified>
</cp:coreProperties>
</file>